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8B" w:rsidRPr="00933824" w:rsidRDefault="0009688B" w:rsidP="0009688B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09688B" w:rsidRPr="00933824" w:rsidRDefault="0009688B" w:rsidP="0009688B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09688B" w:rsidRPr="00933824" w:rsidRDefault="0009688B" w:rsidP="0009688B">
      <w:pPr>
        <w:pStyle w:val="Nagwek1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b/>
          <w:bCs/>
          <w:sz w:val="20"/>
          <w:szCs w:val="20"/>
        </w:rPr>
        <w:t>KARTA KURSU</w:t>
      </w:r>
    </w:p>
    <w:p w:rsidR="0009688B" w:rsidRPr="00933824" w:rsidRDefault="0009688B" w:rsidP="0009688B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9688B" w:rsidRPr="00933824" w:rsidTr="0074176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Gramatyka kontrastywna</w:t>
            </w:r>
          </w:p>
        </w:tc>
      </w:tr>
      <w:tr w:rsidR="0009688B" w:rsidRPr="00933824" w:rsidTr="0074176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German</w:t>
            </w:r>
            <w:r w:rsidRPr="00933824">
              <w:rPr>
                <w:rFonts w:ascii="Arial" w:hAnsi="Arial" w:cs="Arial"/>
                <w:sz w:val="20"/>
                <w:szCs w:val="20"/>
                <w:lang w:val="en-GB"/>
              </w:rPr>
              <w:t>–Polish Contrastive Grammar</w:t>
            </w:r>
          </w:p>
          <w:p w:rsidR="0009688B" w:rsidRPr="00933824" w:rsidRDefault="0009688B" w:rsidP="00741763">
            <w:pPr>
              <w:pStyle w:val="Zawartotabeli"/>
              <w:spacing w:before="60" w:after="60"/>
              <w:ind w:left="70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09688B" w:rsidRPr="00933824" w:rsidRDefault="0009688B" w:rsidP="0009688B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09688B" w:rsidRPr="00933824" w:rsidTr="0074176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09688B" w:rsidRPr="00933824" w:rsidRDefault="0009688B" w:rsidP="0074176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09688B" w:rsidRPr="00933824" w:rsidRDefault="0009688B" w:rsidP="0009688B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09688B" w:rsidRPr="00933824" w:rsidTr="0074176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>Sebastian Dusza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93382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Opis kursu (cele kształcenia)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9688B" w:rsidRPr="00933824" w:rsidTr="00741763">
        <w:trPr>
          <w:trHeight w:val="1365"/>
        </w:trPr>
        <w:tc>
          <w:tcPr>
            <w:tcW w:w="9640" w:type="dxa"/>
          </w:tcPr>
          <w:p w:rsidR="0009688B" w:rsidRPr="00933824" w:rsidRDefault="0009688B" w:rsidP="007417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3824">
              <w:rPr>
                <w:rFonts w:ascii="Arial" w:hAnsi="Arial" w:cs="Arial"/>
                <w:b/>
                <w:sz w:val="22"/>
                <w:szCs w:val="22"/>
              </w:rPr>
              <w:t>Gramatyka kontrastywna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Celem ogólnym jest zapoznanie studentów z podstawowymi podobieństwami i różnicami występującymi pomiędzy językiem niemieckim i językiem polskim, ze szczególnym uwzgl</w:t>
            </w:r>
            <w:r>
              <w:rPr>
                <w:rFonts w:ascii="Arial" w:hAnsi="Arial" w:cs="Arial"/>
                <w:sz w:val="22"/>
                <w:szCs w:val="22"/>
              </w:rPr>
              <w:t xml:space="preserve">ędnieniem różnic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morfoskładniowych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(systemy fleksyjne słowa, systemy predykcyjne zdania prostego, systemy emergencji predykcyjnej w zdaniu złożonym)</w:t>
            </w:r>
            <w:r w:rsidRPr="0093382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Kurs prowadzony jest w j. niemieckim.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3824">
              <w:rPr>
                <w:rFonts w:ascii="Arial" w:hAnsi="Arial" w:cs="Arial"/>
                <w:b/>
                <w:sz w:val="22"/>
                <w:szCs w:val="22"/>
              </w:rPr>
              <w:t>Cele szczegółowe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zna pojęcia i przedmiot badań konfrontatywnych, typy opisu konfrontatywnego, pojęcie </w:t>
            </w:r>
            <w:r w:rsidRPr="00933824">
              <w:rPr>
                <w:rFonts w:ascii="Arial" w:hAnsi="Arial" w:cs="Arial"/>
                <w:i/>
                <w:sz w:val="22"/>
                <w:szCs w:val="22"/>
              </w:rPr>
              <w:t>tertium comparationis;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zna podobieństwa i różnice pomiędzy niemieckim i polskim systemem </w:t>
            </w:r>
            <w:r>
              <w:rPr>
                <w:rFonts w:ascii="Arial" w:hAnsi="Arial" w:cs="Arial"/>
                <w:sz w:val="22"/>
                <w:szCs w:val="22"/>
              </w:rPr>
              <w:t xml:space="preserve">odmiany rzeczowników i czasowników oraz 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czasów, w zakresie użycia strony biernej, trybu przypuszczającego i rozkazującego w języku niemieckim i polskim; 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zna problematykę związaną z rodzajnikiem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determinatorem</w:t>
            </w:r>
            <w:proofErr w:type="spellEnd"/>
            <w:r w:rsidRPr="00933824">
              <w:rPr>
                <w:rFonts w:ascii="Arial" w:hAnsi="Arial" w:cs="Arial"/>
                <w:sz w:val="22"/>
                <w:szCs w:val="22"/>
              </w:rPr>
              <w:t xml:space="preserve"> i jego odpowiednikami w języku polskim; przeczenie w języku niemieckim i polskim; podstawowe różnice składniowe;</w:t>
            </w: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potrafi posługiwać się podstawową terminologią gramatyczną w języku niemieckim</w:t>
            </w:r>
            <w:r>
              <w:rPr>
                <w:rFonts w:ascii="Arial" w:hAnsi="Arial" w:cs="Arial"/>
                <w:sz w:val="22"/>
                <w:szCs w:val="22"/>
              </w:rPr>
              <w:t xml:space="preserve"> i polskim</w:t>
            </w:r>
            <w:r w:rsidRPr="0093382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09688B" w:rsidRPr="00933824" w:rsidRDefault="0009688B" w:rsidP="0009688B">
      <w:pPr>
        <w:rPr>
          <w:rFonts w:ascii="Arial" w:hAnsi="Arial" w:cs="Arial"/>
          <w:sz w:val="22"/>
          <w:szCs w:val="22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Warunki wstępne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688B" w:rsidRPr="00933824" w:rsidTr="0074176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09688B" w:rsidRPr="0093382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09688B" w:rsidRPr="0093382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Znajomość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podstawowych zagadnień opisu 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gramatycznego języka niemieckiego i polskiego </w:t>
            </w:r>
          </w:p>
        </w:tc>
      </w:tr>
      <w:tr w:rsidR="0009688B" w:rsidRPr="00933824" w:rsidTr="0074176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09688B" w:rsidRPr="0093382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09688B" w:rsidRPr="0093382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Znajomo</w:t>
            </w:r>
            <w:r>
              <w:rPr>
                <w:rFonts w:ascii="Arial" w:hAnsi="Arial" w:cs="Arial"/>
                <w:sz w:val="22"/>
                <w:szCs w:val="22"/>
              </w:rPr>
              <w:t>ść podstawowych zagadnień opisu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 gramatycznego języka niemieckiego i polskiego </w:t>
            </w:r>
          </w:p>
        </w:tc>
      </w:tr>
      <w:tr w:rsidR="0009688B" w:rsidRPr="00933824" w:rsidTr="00741763">
        <w:tc>
          <w:tcPr>
            <w:tcW w:w="194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9688B" w:rsidRPr="0093382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Gramatyka opisowa języka niemieckiego I </w:t>
            </w:r>
            <w:proofErr w:type="spellStart"/>
            <w:r w:rsidRPr="00933824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933824">
              <w:rPr>
                <w:rFonts w:ascii="Arial" w:hAnsi="Arial" w:cs="Arial"/>
                <w:sz w:val="22"/>
                <w:szCs w:val="22"/>
              </w:rPr>
              <w:t xml:space="preserve"> II</w:t>
            </w:r>
            <w:r>
              <w:rPr>
                <w:rFonts w:ascii="Arial" w:hAnsi="Arial" w:cs="Arial"/>
                <w:sz w:val="22"/>
                <w:szCs w:val="22"/>
              </w:rPr>
              <w:t>, Wstęp do językoznawstwa, znajomość składni języka polskiego na poziomie licealnym.</w:t>
            </w:r>
          </w:p>
          <w:p w:rsidR="0009688B" w:rsidRPr="00F71684" w:rsidRDefault="0009688B" w:rsidP="00741763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Default="0009688B" w:rsidP="0009688B">
      <w:pPr>
        <w:widowControl/>
        <w:suppressAutoHyphens w:val="0"/>
        <w:autoSpaceD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Efekty uczenia się</w:t>
      </w:r>
      <w:r w:rsidRPr="00933824">
        <w:rPr>
          <w:rFonts w:ascii="Arial" w:hAnsi="Arial" w:cs="Arial"/>
          <w:sz w:val="20"/>
          <w:szCs w:val="20"/>
        </w:rPr>
        <w:t xml:space="preserve"> 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304"/>
      </w:tblGrid>
      <w:tr w:rsidR="0009688B" w:rsidRPr="00933824" w:rsidTr="0074176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688B" w:rsidRPr="00933824" w:rsidTr="00741763">
        <w:trPr>
          <w:cantSplit/>
          <w:trHeight w:val="1838"/>
        </w:trPr>
        <w:tc>
          <w:tcPr>
            <w:tcW w:w="1979" w:type="dxa"/>
            <w:vMerge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9688B" w:rsidRPr="00933824" w:rsidRDefault="0009688B" w:rsidP="00741763">
            <w:pPr>
              <w:rPr>
                <w:rFonts w:ascii="Arial" w:hAnsi="Arial" w:cs="Arial"/>
                <w:sz w:val="22"/>
                <w:szCs w:val="20"/>
              </w:rPr>
            </w:pP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>W01: Student zna podstawową terminologię z zakresu gramatyki konfrontatywnej niemiecko-polskiej</w:t>
            </w: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W02: Student posiada podstawową wiedzę o głównych kierunkach rozwoju i najważniejszych nowych osiągnięciach w zakresie filologii </w:t>
            </w: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W03: Student zna i rozumie podstawowe metody analizy i interpretacji właściwe dla gramatyki konfrontatywnej niemiecko-polskiej </w:t>
            </w: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>W04: Student ma świadomość kompleksowej natury języka oraz jego złożoności i zmienności jego znaczeń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33824">
              <w:rPr>
                <w:rFonts w:ascii="Arial" w:hAnsi="Arial" w:cs="Arial"/>
                <w:sz w:val="20"/>
                <w:szCs w:val="20"/>
              </w:rPr>
              <w:t xml:space="preserve">K1_W04 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9688B" w:rsidRPr="00933824" w:rsidTr="0074176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688B" w:rsidRPr="00933824" w:rsidTr="00741763">
        <w:trPr>
          <w:cantSplit/>
          <w:trHeight w:val="2116"/>
        </w:trPr>
        <w:tc>
          <w:tcPr>
            <w:tcW w:w="1985" w:type="dxa"/>
            <w:vMerge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U01: Student </w:t>
            </w:r>
            <w:r>
              <w:rPr>
                <w:sz w:val="23"/>
                <w:szCs w:val="23"/>
              </w:rPr>
              <w:t xml:space="preserve">kierując się wskazówkami opiekuna naukowego potrafi wyszukiwać, analizować, oceniać, </w:t>
            </w:r>
            <w:r w:rsidRPr="00A80DCD">
              <w:rPr>
                <w:sz w:val="23"/>
                <w:szCs w:val="23"/>
              </w:rPr>
              <w:t xml:space="preserve">selekcjonować i użytkować informacje z wykorzystaniem różnych źródeł i sposobów </w:t>
            </w: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U02: Student </w:t>
            </w:r>
            <w:r w:rsidRPr="00A80DCD">
              <w:rPr>
                <w:sz w:val="23"/>
                <w:szCs w:val="23"/>
              </w:rPr>
              <w:t xml:space="preserve">formułuje i analizuje problemy badawcze w zakresie językoznawstwa (w tym językoznawstwa stosowanego), </w:t>
            </w: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U03: Student </w:t>
            </w:r>
            <w:r w:rsidRPr="00A80DCD">
              <w:rPr>
                <w:sz w:val="23"/>
                <w:szCs w:val="23"/>
              </w:rPr>
              <w:t xml:space="preserve">w typowych sytuacjach zawodowych posługuje się podstawowymi ujęciami teoretycznymi i pojęciami właściwymi dla filologii </w:t>
            </w:r>
          </w:p>
          <w:p w:rsidR="0009688B" w:rsidRPr="00A80DCD" w:rsidRDefault="0009688B" w:rsidP="00741763">
            <w:pPr>
              <w:jc w:val="both"/>
              <w:rPr>
                <w:sz w:val="22"/>
                <w:szCs w:val="22"/>
              </w:rPr>
            </w:pPr>
          </w:p>
          <w:p w:rsidR="0009688B" w:rsidRPr="00933824" w:rsidRDefault="0009688B" w:rsidP="00741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5004"/>
        <w:gridCol w:w="2340"/>
      </w:tblGrid>
      <w:tr w:rsidR="0009688B" w:rsidRPr="00933824" w:rsidTr="0074176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688B" w:rsidRPr="00933824" w:rsidTr="00741763">
        <w:trPr>
          <w:cantSplit/>
          <w:trHeight w:val="1404"/>
        </w:trPr>
        <w:tc>
          <w:tcPr>
            <w:tcW w:w="1985" w:type="dxa"/>
            <w:vMerge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9688B" w:rsidRPr="00A80DCD" w:rsidRDefault="0009688B" w:rsidP="0074176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A80DCD">
              <w:rPr>
                <w:rFonts w:eastAsia="MyriadPro-Regular"/>
                <w:color w:val="1A171B"/>
                <w:sz w:val="22"/>
                <w:szCs w:val="22"/>
              </w:rPr>
              <w:t xml:space="preserve">K01: </w:t>
            </w:r>
            <w:r w:rsidRPr="00A80DCD">
              <w:rPr>
                <w:sz w:val="22"/>
                <w:szCs w:val="20"/>
              </w:rPr>
              <w:t xml:space="preserve">Student </w:t>
            </w:r>
            <w:r w:rsidRPr="00A80DCD">
              <w:rPr>
                <w:sz w:val="23"/>
                <w:szCs w:val="23"/>
              </w:rPr>
              <w:t xml:space="preserve">prawidłowo identyfikuje i rozstrzyga problemy związane z wykonywaniem zawodu </w:t>
            </w:r>
          </w:p>
          <w:p w:rsidR="0009688B" w:rsidRPr="00A80DCD" w:rsidRDefault="0009688B" w:rsidP="0074176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09688B" w:rsidRPr="00A80DCD" w:rsidRDefault="0009688B" w:rsidP="0074176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09688B" w:rsidRPr="00A80DCD" w:rsidRDefault="0009688B" w:rsidP="00741763">
            <w:pPr>
              <w:autoSpaceDN w:val="0"/>
              <w:adjustRightInd w:val="0"/>
              <w:jc w:val="both"/>
              <w:rPr>
                <w:sz w:val="22"/>
                <w:szCs w:val="20"/>
              </w:rPr>
            </w:pPr>
            <w:r w:rsidRPr="00A80DCD">
              <w:rPr>
                <w:rFonts w:eastAsia="MyriadPro-Regular"/>
                <w:color w:val="1A171B"/>
                <w:sz w:val="22"/>
                <w:szCs w:val="22"/>
              </w:rPr>
              <w:t xml:space="preserve">K02: </w:t>
            </w:r>
            <w:r w:rsidRPr="00A80DCD">
              <w:rPr>
                <w:sz w:val="23"/>
                <w:szCs w:val="23"/>
              </w:rPr>
              <w:t xml:space="preserve">Student uczestniczy w życiu kulturalnym, korzystając z różnych mediów </w:t>
            </w:r>
          </w:p>
          <w:p w:rsidR="0009688B" w:rsidRPr="00F71684" w:rsidRDefault="0009688B" w:rsidP="0074176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2"/>
                <w:szCs w:val="22"/>
              </w:rPr>
            </w:pPr>
          </w:p>
        </w:tc>
        <w:tc>
          <w:tcPr>
            <w:tcW w:w="2410" w:type="dxa"/>
          </w:tcPr>
          <w:p w:rsidR="0009688B" w:rsidRPr="00F7168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="0009688B" w:rsidRPr="00F7168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F7168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F7168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09688B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  <w:p w:rsidR="0009688B" w:rsidRPr="00F7168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9688B" w:rsidRPr="00933824" w:rsidTr="0074176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9688B" w:rsidRPr="00933824" w:rsidTr="0074176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9688B" w:rsidRPr="00933824" w:rsidTr="0074176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trHeight w:val="462"/>
        </w:trPr>
        <w:tc>
          <w:tcPr>
            <w:tcW w:w="1611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Opis metod prowadzenia zajęć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9688B" w:rsidRPr="00933824" w:rsidTr="00741763">
        <w:trPr>
          <w:trHeight w:val="1286"/>
        </w:trPr>
        <w:tc>
          <w:tcPr>
            <w:tcW w:w="9622" w:type="dxa"/>
          </w:tcPr>
          <w:p w:rsidR="0009688B" w:rsidRPr="00933824" w:rsidRDefault="0009688B" w:rsidP="00741763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metoda podająca (wykład)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metoda problemowa (dyskusja) </w:t>
            </w:r>
          </w:p>
          <w:p w:rsidR="0009688B" w:rsidRPr="00933824" w:rsidRDefault="0009688B" w:rsidP="00741763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metoda praktyczna (ćwiczenia przedmiotowe, referowanie, streszczanie, prezentacje multimedialne wraz ze wspólnym omawianiem przykładów podobieństw i różnic pomiędzy językiem niemieckim a językiem polskim) </w:t>
            </w:r>
          </w:p>
        </w:tc>
      </w:tr>
    </w:tbl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Formy sprawdzania efektów kształcenia</w:t>
      </w:r>
    </w:p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09688B" w:rsidRPr="00933824" w:rsidTr="00741763">
        <w:trPr>
          <w:cantSplit/>
          <w:trHeight w:val="1616"/>
        </w:trPr>
        <w:tc>
          <w:tcPr>
            <w:tcW w:w="926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933824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09688B" w:rsidRPr="00933824" w:rsidRDefault="0009688B" w:rsidP="0074176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9688B" w:rsidRPr="00933824" w:rsidTr="00741763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88B" w:rsidRPr="00933824" w:rsidTr="00741763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9688B" w:rsidRPr="00933824" w:rsidRDefault="0009688B" w:rsidP="007417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688B" w:rsidRPr="00933824" w:rsidTr="00741763">
        <w:tc>
          <w:tcPr>
            <w:tcW w:w="194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09688B" w:rsidRPr="00933824" w:rsidRDefault="0009688B" w:rsidP="0074176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 w czasie zajęć,</w:t>
            </w:r>
            <w:r>
              <w:rPr>
                <w:rFonts w:ascii="Arial" w:hAnsi="Arial" w:cs="Arial"/>
                <w:sz w:val="20"/>
                <w:szCs w:val="20"/>
              </w:rPr>
              <w:t xml:space="preserve"> pozytywna ocena z dwóch kolokwiów,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wykonywanie zadań domowych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uzyskanie pozytywnej oceny z egzaminu pisemnego.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9688B" w:rsidRDefault="0009688B" w:rsidP="0074176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kończy się egzaminem pisemnym. Ujednolicona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skala ocen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9688B" w:rsidRDefault="0009688B" w:rsidP="0074176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60-67 (3.0)</w:t>
            </w:r>
          </w:p>
          <w:p w:rsidR="0009688B" w:rsidRDefault="0009688B" w:rsidP="0074176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68-75 (3,5)</w:t>
            </w:r>
          </w:p>
          <w:p w:rsidR="0009688B" w:rsidRDefault="0009688B" w:rsidP="0074176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76-83 (4,0)</w:t>
            </w:r>
          </w:p>
          <w:p w:rsidR="0009688B" w:rsidRDefault="0009688B" w:rsidP="0074176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84-92 (4,5)</w:t>
            </w:r>
          </w:p>
          <w:p w:rsidR="0009688B" w:rsidRPr="00933824" w:rsidRDefault="0009688B" w:rsidP="0074176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93-100 (5,0)</w:t>
            </w:r>
          </w:p>
        </w:tc>
      </w:tr>
    </w:tbl>
    <w:p w:rsidR="0009688B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688B" w:rsidRPr="00933824" w:rsidTr="0074176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09688B" w:rsidRPr="00933824" w:rsidRDefault="0009688B" w:rsidP="0074176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09688B" w:rsidRPr="00933824" w:rsidRDefault="0009688B" w:rsidP="0074176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688B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9688B" w:rsidRPr="00F71684" w:rsidTr="00741763">
        <w:trPr>
          <w:trHeight w:val="1136"/>
        </w:trPr>
        <w:tc>
          <w:tcPr>
            <w:tcW w:w="9622" w:type="dxa"/>
          </w:tcPr>
          <w:p w:rsidR="0009688B" w:rsidRPr="00F71684" w:rsidRDefault="0009688B" w:rsidP="007417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9688B" w:rsidRPr="00F71684" w:rsidRDefault="0009688B" w:rsidP="00741763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 xml:space="preserve">Przedmiot gramatyki/lingwistyki </w:t>
            </w:r>
            <w:r>
              <w:rPr>
                <w:rFonts w:ascii="Arial" w:hAnsi="Arial" w:cs="Arial"/>
                <w:sz w:val="22"/>
                <w:szCs w:val="22"/>
              </w:rPr>
              <w:t>konfrontatywnej/kontrastywnej</w:t>
            </w:r>
          </w:p>
          <w:p w:rsidR="0009688B" w:rsidRPr="00F71684" w:rsidRDefault="0009688B" w:rsidP="00741763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>Fenomen ekwiwalencj</w:t>
            </w:r>
            <w:r>
              <w:rPr>
                <w:rFonts w:ascii="Arial" w:hAnsi="Arial" w:cs="Arial"/>
                <w:sz w:val="22"/>
                <w:szCs w:val="22"/>
              </w:rPr>
              <w:t>i i interferencji oraz kontrowersje związane z nimi</w:t>
            </w:r>
          </w:p>
          <w:p w:rsidR="0009688B" w:rsidRPr="00F71684" w:rsidRDefault="0009688B" w:rsidP="00741763">
            <w:pPr>
              <w:pStyle w:val="western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Aspekt, </w:t>
            </w:r>
            <w:r w:rsidRPr="00F71684">
              <w:rPr>
                <w:rFonts w:ascii="Arial" w:hAnsi="Arial" w:cs="Arial"/>
                <w:sz w:val="22"/>
                <w:szCs w:val="22"/>
              </w:rPr>
              <w:t>czas</w:t>
            </w:r>
            <w:r>
              <w:rPr>
                <w:rFonts w:ascii="Arial" w:hAnsi="Arial" w:cs="Arial"/>
                <w:sz w:val="22"/>
                <w:szCs w:val="22"/>
              </w:rPr>
              <w:t>, strona</w:t>
            </w:r>
          </w:p>
          <w:p w:rsidR="0009688B" w:rsidRPr="00F71684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Liczby, systemy liczenia, daty</w:t>
            </w:r>
          </w:p>
          <w:p w:rsidR="0009688B" w:rsidRPr="00F71684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System segregacji płciowej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 języka niemieckiego i polskiego</w:t>
            </w:r>
          </w:p>
          <w:p w:rsidR="0009688B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Akcent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 w języku polskim i niemieckim</w:t>
            </w:r>
          </w:p>
          <w:p w:rsidR="0009688B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1530A2">
              <w:rPr>
                <w:rFonts w:ascii="Arial" w:hAnsi="Arial" w:cs="Arial"/>
                <w:sz w:val="22"/>
                <w:szCs w:val="22"/>
              </w:rPr>
              <w:t>Konstrukcje zdania prostego</w:t>
            </w:r>
            <w:r>
              <w:rPr>
                <w:rFonts w:ascii="Arial" w:hAnsi="Arial" w:cs="Arial"/>
                <w:sz w:val="22"/>
                <w:szCs w:val="22"/>
              </w:rPr>
              <w:t xml:space="preserve"> rozkazującego i pytajnego</w:t>
            </w:r>
          </w:p>
          <w:p w:rsidR="0009688B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1530A2">
              <w:rPr>
                <w:rFonts w:ascii="Arial" w:hAnsi="Arial" w:cs="Arial"/>
                <w:sz w:val="22"/>
                <w:szCs w:val="22"/>
              </w:rPr>
              <w:t>wiązki rządu</w:t>
            </w:r>
            <w:r>
              <w:rPr>
                <w:rFonts w:ascii="Arial" w:hAnsi="Arial" w:cs="Arial"/>
                <w:sz w:val="22"/>
                <w:szCs w:val="22"/>
              </w:rPr>
              <w:t>, zgody i przynależności</w:t>
            </w:r>
          </w:p>
          <w:p w:rsidR="0009688B" w:rsidRPr="001530A2" w:rsidRDefault="0009688B" w:rsidP="00741763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1530A2">
              <w:rPr>
                <w:rFonts w:ascii="Arial" w:hAnsi="Arial" w:cs="Arial"/>
                <w:sz w:val="22"/>
                <w:szCs w:val="22"/>
              </w:rPr>
              <w:t>Pragmatyczne kontrasty pomiędzy językiem polskim a niemieckim w ramach frazeologii</w:t>
            </w: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Wykaz literatury podstawowej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9688B" w:rsidRPr="00370D30" w:rsidTr="00741763">
        <w:trPr>
          <w:trHeight w:val="1098"/>
        </w:trPr>
        <w:tc>
          <w:tcPr>
            <w:tcW w:w="9622" w:type="dxa"/>
          </w:tcPr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Ulrich 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Engel, i in. (2000):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Deutsch-polnische kontrastive Grammatik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. Warszawa: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Wydawnictwo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Naukowe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PWN.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Joanna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Golonka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(2012):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Kontrastive Grammatik Deutsch-Polnisch für polnische Studenten: ausgewählte Probleme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Rzeszów 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Joachim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Ballweg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(1988):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Die Semantik der deutschen </w:t>
            </w:r>
            <w:proofErr w:type="spellStart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Tempusformen</w:t>
            </w:r>
            <w:proofErr w:type="spellEnd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. Eine indirekte Analyse im </w:t>
            </w:r>
            <w:proofErr w:type="spellStart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Rahlem</w:t>
            </w:r>
            <w:proofErr w:type="spellEnd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 einer temporal erweiterten Aussagenlogik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Düsseldorf </w:t>
            </w:r>
          </w:p>
          <w:p w:rsidR="0009688B" w:rsidRPr="00F71684" w:rsidRDefault="0009688B" w:rsidP="00741763">
            <w:pPr>
              <w:autoSpaceDN w:val="0"/>
              <w:adjustRightInd w:val="0"/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Tomasz Czarnecki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(1998)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>Aspektualität</w:t>
            </w:r>
            <w:proofErr w:type="spellEnd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 im Polnischen und Deutschen. Bedeutungen und Formen in einer konfrontativen Übersicht. 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Gda</w:t>
            </w:r>
            <w:r w:rsidRPr="00F71684">
              <w:rPr>
                <w:rFonts w:ascii="Arial" w:eastAsia="TimesNewRoman,Italic" w:hAnsi="Arial" w:cs="Arial"/>
                <w:iCs/>
                <w:sz w:val="22"/>
                <w:szCs w:val="22"/>
                <w:lang w:val="de-DE"/>
              </w:rPr>
              <w:t>ń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sk  </w:t>
            </w:r>
          </w:p>
          <w:p w:rsidR="0009688B" w:rsidRPr="00F71684" w:rsidRDefault="0009688B" w:rsidP="00741763">
            <w:pPr>
              <w:autoSpaceDN w:val="0"/>
              <w:adjustRightInd w:val="0"/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Jan </w:t>
            </w:r>
            <w:proofErr w:type="spellStart"/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Czochralski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(1975)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, Verbalaspekt und </w:t>
            </w:r>
            <w:proofErr w:type="spellStart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>Tempussystem</w:t>
            </w:r>
            <w:proofErr w:type="spellEnd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 im Deutschen und Polnischen. Eine konfrontative Darstellung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, Warszawa  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  <w:lang w:val="it-IT"/>
        </w:rPr>
      </w:pPr>
    </w:p>
    <w:p w:rsidR="0009688B" w:rsidRPr="00933824" w:rsidRDefault="0009688B" w:rsidP="0009688B">
      <w:pPr>
        <w:rPr>
          <w:rFonts w:ascii="Arial" w:hAnsi="Arial" w:cs="Arial"/>
          <w:sz w:val="20"/>
          <w:szCs w:val="20"/>
          <w:lang w:val="it-IT"/>
        </w:rPr>
      </w:pPr>
      <w:r w:rsidRPr="00933824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09688B" w:rsidRPr="0083777E" w:rsidTr="00741763">
        <w:trPr>
          <w:trHeight w:val="1112"/>
        </w:trPr>
        <w:tc>
          <w:tcPr>
            <w:tcW w:w="9622" w:type="dxa"/>
          </w:tcPr>
          <w:p w:rsidR="0009688B" w:rsidRPr="00F71684" w:rsidRDefault="0009688B" w:rsidP="007417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Jan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</w:rPr>
              <w:t>Czochralski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</w:rPr>
              <w:t xml:space="preserve">, J.(1990):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Gramatyka niemiecka dla Polaków</w:t>
            </w:r>
            <w:r w:rsidRPr="00F71684">
              <w:rPr>
                <w:rFonts w:ascii="Arial" w:hAnsi="Arial" w:cs="Arial"/>
                <w:sz w:val="22"/>
                <w:szCs w:val="22"/>
              </w:rPr>
              <w:t>. Warszawa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Zofia Berdychowska 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(1996):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Polsko – niemiecka terminologia gramatyczna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Kraków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Hadumod Bussmann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(1990):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Lexikon der Sprachwissenschaft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. Stuttgart/ München 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Hans Glück,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(2000): </w:t>
            </w:r>
            <w:r w:rsidRPr="00F71684">
              <w:rPr>
                <w:rFonts w:ascii="Arial" w:hAnsi="Arial" w:cs="Arial"/>
                <w:i/>
                <w:iCs/>
                <w:sz w:val="22"/>
                <w:szCs w:val="22"/>
                <w:lang w:val="de-DE"/>
              </w:rPr>
              <w:t>Metzler Lexikon Sprache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. Verlag J.B. Metzler Stuttgart</w:t>
            </w:r>
          </w:p>
          <w:p w:rsidR="0009688B" w:rsidRPr="0083777E" w:rsidRDefault="0009688B" w:rsidP="00741763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Tomasz Czarnecki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(1980):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Das Passiv im Deutschen und Polnischen. </w:t>
            </w:r>
            <w:r w:rsidRPr="0083777E">
              <w:rPr>
                <w:rFonts w:ascii="Arial" w:hAnsi="Arial" w:cs="Arial"/>
                <w:i/>
                <w:sz w:val="22"/>
                <w:szCs w:val="22"/>
                <w:lang w:val="de-DE"/>
              </w:rPr>
              <w:t>Gemeinsamkeiten und Unterschiede</w:t>
            </w:r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 xml:space="preserve">, in: Acta </w:t>
            </w:r>
            <w:proofErr w:type="spellStart"/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>Philologica</w:t>
            </w:r>
            <w:proofErr w:type="spellEnd"/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 xml:space="preserve"> X. Warszawa, S. 31-39 </w:t>
            </w:r>
          </w:p>
          <w:p w:rsidR="0009688B" w:rsidRDefault="0009688B" w:rsidP="00741763">
            <w:pPr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 xml:space="preserve">Danuta Buttler (1976):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Innowacje składniowe współczesnej polszczyzny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, Warszawa </w:t>
            </w:r>
          </w:p>
          <w:p w:rsidR="0009688B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Abraham Werner et al. (1989):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Tempus-Aspekt-Modus: die lexikalischen und grammatischen Formen in den germanischen Sprachen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Tübingen </w:t>
            </w:r>
          </w:p>
          <w:p w:rsidR="0009688B" w:rsidRPr="00F71684" w:rsidRDefault="0009688B" w:rsidP="00741763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Tomasz Czarnecki (2000): 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Interferenztypen der polnischen Muttersprachler beim Gebrauch des deutschen Konjunktivs, 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in: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Studia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Germanica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Gedanensia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8, S. 131-143</w:t>
            </w:r>
          </w:p>
          <w:p w:rsidR="0009688B" w:rsidRPr="0083777E" w:rsidRDefault="0009688B" w:rsidP="00741763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</w:tbl>
    <w:p w:rsidR="0009688B" w:rsidRPr="00933824" w:rsidRDefault="0009688B" w:rsidP="0009688B">
      <w:pPr>
        <w:rPr>
          <w:rFonts w:ascii="Arial" w:hAnsi="Arial" w:cs="Arial"/>
          <w:sz w:val="20"/>
          <w:szCs w:val="20"/>
          <w:lang w:val="it-IT"/>
        </w:rPr>
      </w:pPr>
    </w:p>
    <w:p w:rsidR="0009688B" w:rsidRDefault="0009688B" w:rsidP="0009688B">
      <w:pPr>
        <w:widowControl/>
        <w:suppressAutoHyphens w:val="0"/>
        <w:autoSpaceDE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br w:type="page"/>
      </w:r>
    </w:p>
    <w:p w:rsidR="0009688B" w:rsidRPr="00933824" w:rsidRDefault="0009688B" w:rsidP="0009688B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09688B" w:rsidRPr="00933824" w:rsidRDefault="0009688B" w:rsidP="0009688B">
      <w:pPr>
        <w:pStyle w:val="Tekstdymka1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09688B" w:rsidRPr="00933824" w:rsidRDefault="0009688B" w:rsidP="000968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7"/>
        <w:gridCol w:w="5546"/>
        <w:gridCol w:w="1045"/>
      </w:tblGrid>
      <w:tr w:rsidR="0009688B" w:rsidRPr="00933824" w:rsidTr="0074176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9688B" w:rsidRPr="00933824" w:rsidTr="0074176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09688B" w:rsidRPr="00933824" w:rsidTr="0074176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09688B" w:rsidRPr="00933824" w:rsidRDefault="0009688B" w:rsidP="0074176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09688B" w:rsidRPr="00933824" w:rsidTr="0074176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09688B" w:rsidRPr="00933824" w:rsidTr="0074176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5</w:t>
            </w:r>
          </w:p>
        </w:tc>
      </w:tr>
      <w:tr w:rsidR="0009688B" w:rsidRPr="00933824" w:rsidTr="0074176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</w:t>
            </w:r>
          </w:p>
        </w:tc>
      </w:tr>
      <w:tr w:rsidR="0009688B" w:rsidRPr="00933824" w:rsidTr="0074176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09688B" w:rsidRPr="00933824" w:rsidTr="0074176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09688B" w:rsidRPr="00933824" w:rsidTr="0074176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09688B" w:rsidRPr="00933824" w:rsidRDefault="0009688B" w:rsidP="0074176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09688B" w:rsidRPr="00933824" w:rsidRDefault="0009688B" w:rsidP="0009688B">
      <w:pPr>
        <w:pStyle w:val="Tekstdymka1"/>
        <w:rPr>
          <w:rFonts w:ascii="Arial" w:hAnsi="Arial" w:cs="Arial"/>
          <w:sz w:val="20"/>
          <w:szCs w:val="20"/>
        </w:rPr>
      </w:pPr>
    </w:p>
    <w:p w:rsidR="0009688B" w:rsidRDefault="0009688B" w:rsidP="0009688B"/>
    <w:p w:rsidR="0009688B" w:rsidRDefault="0009688B" w:rsidP="0009688B"/>
    <w:p w:rsidR="0009688B" w:rsidRDefault="0009688B" w:rsidP="0009688B"/>
    <w:p w:rsidR="00BB47EE" w:rsidRDefault="00BB47EE"/>
    <w:sectPr w:rsidR="00BB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88B"/>
    <w:rsid w:val="0009688B"/>
    <w:rsid w:val="004063B7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68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688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688B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09688B"/>
    <w:pPr>
      <w:suppressLineNumbers/>
    </w:pPr>
  </w:style>
  <w:style w:type="paragraph" w:customStyle="1" w:styleId="Tekstdymka1">
    <w:name w:val="Tekst dymka1"/>
    <w:basedOn w:val="Normalny"/>
    <w:rsid w:val="0009688B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09688B"/>
    <w:pPr>
      <w:widowControl/>
      <w:suppressAutoHyphens w:val="0"/>
      <w:autoSpaceDE/>
      <w:spacing w:before="100" w:beforeAutospacing="1" w:after="119"/>
    </w:pPr>
    <w:rPr>
      <w:rFonts w:eastAsia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68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688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688B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09688B"/>
    <w:pPr>
      <w:suppressLineNumbers/>
    </w:pPr>
  </w:style>
  <w:style w:type="paragraph" w:customStyle="1" w:styleId="Tekstdymka1">
    <w:name w:val="Tekst dymka1"/>
    <w:basedOn w:val="Normalny"/>
    <w:rsid w:val="0009688B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09688B"/>
    <w:pPr>
      <w:widowControl/>
      <w:suppressAutoHyphens w:val="0"/>
      <w:autoSpaceDE/>
      <w:spacing w:before="100" w:beforeAutospacing="1" w:after="119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987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2019-09-14T11:05:00Z</dcterms:created>
  <dcterms:modified xsi:type="dcterms:W3CDTF">2019-09-14T11:08:00Z</dcterms:modified>
</cp:coreProperties>
</file>